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</w:rPr>
        <w:alias w:val="Vaše meno"/>
        <w:tag w:val=""/>
        <w:id w:val="-574512284"/>
        <w:placeholder>
          <w:docPart w:val="223B9FFA8C5E47209DCA99CABA8248D5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:rsidR="002179B6" w:rsidRPr="00BB0B41" w:rsidRDefault="00040609" w:rsidP="002179B6">
          <w:pPr>
            <w:pStyle w:val="Meno"/>
            <w:rPr>
              <w:b/>
            </w:rPr>
          </w:pPr>
          <w:r>
            <w:rPr>
              <w:b/>
            </w:rPr>
            <w:t>AUTEX M7</w:t>
          </w:r>
          <w:r w:rsidR="00784C94">
            <w:rPr>
              <w:b/>
            </w:rPr>
            <w:t>AD</w:t>
          </w:r>
          <w:r>
            <w:rPr>
              <w:b/>
            </w:rPr>
            <w:t>S</w:t>
          </w:r>
          <w:r w:rsidR="0012103F">
            <w:rPr>
              <w:b/>
            </w:rPr>
            <w:t xml:space="preserve"> </w:t>
          </w:r>
          <w:r>
            <w:rPr>
              <w:b/>
            </w:rPr>
            <w:t>III</w:t>
          </w:r>
          <w:r w:rsidR="00C506AD">
            <w:rPr>
              <w:b/>
            </w:rPr>
            <w:t xml:space="preserve"> 15W-40</w:t>
          </w:r>
        </w:p>
      </w:sdtContent>
    </w:sdt>
    <w:tbl>
      <w:tblPr>
        <w:tblStyle w:val="Tabukaivotopisu"/>
        <w:tblW w:w="5000" w:type="pct"/>
        <w:tblInd w:w="-142" w:type="dxa"/>
        <w:tblLook w:val="04A0" w:firstRow="1" w:lastRow="0" w:firstColumn="1" w:lastColumn="0" w:noHBand="0" w:noVBand="1"/>
      </w:tblPr>
      <w:tblGrid>
        <w:gridCol w:w="1582"/>
        <w:gridCol w:w="27"/>
        <w:gridCol w:w="7463"/>
      </w:tblGrid>
      <w:tr w:rsidR="002179B6" w:rsidTr="00693AD7">
        <w:tc>
          <w:tcPr>
            <w:tcW w:w="1921" w:type="dxa"/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 w:rsidRPr="00BC7CE9">
              <w:rPr>
                <w:b/>
              </w:rPr>
              <w:t>pOPIS</w:t>
            </w:r>
          </w:p>
        </w:tc>
        <w:tc>
          <w:tcPr>
            <w:tcW w:w="64" w:type="dxa"/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</w:tcPr>
          <w:p w:rsidR="002179B6" w:rsidRPr="00594627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594627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AUTEX M7ADS III </w:t>
            </w:r>
            <w:r w:rsidR="00C506AD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15W-40 </w:t>
            </w:r>
            <w:bookmarkStart w:id="0" w:name="_GoBack"/>
            <w:bookmarkEnd w:id="0"/>
            <w:r w:rsidRPr="00594627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je </w:t>
            </w:r>
            <w:r w:rsidR="0035550E" w:rsidRPr="00594627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celoročný motorový </w:t>
            </w:r>
            <w:r w:rsidRPr="00594627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olej pre naftové motory vyrobený z minerálnych základových olejov </w:t>
            </w:r>
            <w:r w:rsidR="00D36AFC" w:rsidRPr="00594627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s nízkou odparnosťou, </w:t>
            </w:r>
            <w:r w:rsidRPr="00594627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s použitím prísad, ktoré</w:t>
            </w:r>
            <w:r w:rsidR="00D57D2B" w:rsidRPr="00594627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 </w:t>
            </w:r>
            <w:r w:rsidRPr="00594627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zaisťujú modernú výkonnostnú úroveň spolu s prísadami pre modifikáciu viskozitných charakteristík.</w:t>
            </w:r>
          </w:p>
        </w:tc>
      </w:tr>
      <w:tr w:rsidR="002179B6" w:rsidTr="00BB1C2B">
        <w:trPr>
          <w:trHeight w:val="881"/>
        </w:trPr>
        <w:tc>
          <w:tcPr>
            <w:tcW w:w="1921" w:type="dxa"/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 w:rsidRPr="00BC7CE9">
              <w:rPr>
                <w:b/>
                <w:lang w:bidi="sk-SK"/>
              </w:rPr>
              <w:t>pOUžITIE</w:t>
            </w:r>
          </w:p>
        </w:tc>
        <w:tc>
          <w:tcPr>
            <w:tcW w:w="64" w:type="dxa"/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</w:tcPr>
          <w:p w:rsidR="002179B6" w:rsidRPr="00594627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</w:pPr>
            <w:r w:rsidRPr="00594627"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  <w:t>Benzínové alebo preplňované a nepreplňované naftové motory úžitkových a osobných automobilov</w:t>
            </w:r>
            <w:r w:rsidR="00D36AFC" w:rsidRPr="00594627"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  <w:t>. Je vhodný aj pre niektoré stacionárne motory.</w:t>
            </w:r>
          </w:p>
        </w:tc>
      </w:tr>
      <w:tr w:rsidR="002179B6" w:rsidRPr="00BB0B41" w:rsidTr="00A35AE2">
        <w:tc>
          <w:tcPr>
            <w:tcW w:w="1921" w:type="dxa"/>
            <w:tcBorders>
              <w:bottom w:val="single" w:sz="4" w:space="0" w:color="4F81BD" w:themeColor="accent1"/>
            </w:tcBorders>
          </w:tcPr>
          <w:p w:rsidR="00BB1C2B" w:rsidRDefault="002179B6" w:rsidP="00BB1C2B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>
              <w:rPr>
                <w:b/>
              </w:rPr>
              <w:t>vlastnosti</w:t>
            </w:r>
            <w:r w:rsidR="00BB1C2B">
              <w:rPr>
                <w:b/>
              </w:rPr>
              <w:t xml:space="preserve">     A výhody</w:t>
            </w:r>
          </w:p>
          <w:p w:rsidR="002179B6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</w:p>
          <w:p w:rsidR="00BB1C2B" w:rsidRPr="00BB1C2B" w:rsidRDefault="00BB1C2B" w:rsidP="00BB1C2B"/>
        </w:tc>
        <w:tc>
          <w:tcPr>
            <w:tcW w:w="64" w:type="dxa"/>
            <w:tcBorders>
              <w:bottom w:val="single" w:sz="4" w:space="0" w:color="4F81BD" w:themeColor="accent1"/>
            </w:tcBorders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  <w:tcBorders>
              <w:bottom w:val="single" w:sz="4" w:space="0" w:color="4F81BD" w:themeColor="accent1"/>
            </w:tcBorders>
          </w:tcPr>
          <w:p w:rsidR="002179B6" w:rsidRPr="00594627" w:rsidRDefault="00BB1C2B" w:rsidP="00693AD7">
            <w:pPr>
              <w:pStyle w:val="Defaul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en-US"/>
              </w:rPr>
            </w:pPr>
            <w:r w:rsidRPr="00594627"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en-US"/>
              </w:rPr>
              <w:t>Vynikajúca strihová stálosť</w:t>
            </w:r>
          </w:p>
          <w:p w:rsidR="00BB1C2B" w:rsidRPr="00594627" w:rsidRDefault="00BB1C2B" w:rsidP="00693AD7">
            <w:pPr>
              <w:pStyle w:val="Defaul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en-US"/>
              </w:rPr>
            </w:pPr>
            <w:r w:rsidRPr="00594627"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en-US"/>
              </w:rPr>
              <w:t>Vysoká prevádzková viskozita</w:t>
            </w:r>
          </w:p>
          <w:p w:rsidR="00BB1C2B" w:rsidRPr="00594627" w:rsidRDefault="00BB1C2B" w:rsidP="00693AD7">
            <w:pPr>
              <w:pStyle w:val="Default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en-US"/>
              </w:rPr>
            </w:pPr>
            <w:r w:rsidRPr="00594627"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lang w:eastAsia="en-US"/>
              </w:rPr>
              <w:t>Dobrá pevnosť mazacieho filmu</w:t>
            </w:r>
          </w:p>
          <w:tbl>
            <w:tblPr>
              <w:tblW w:w="71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73"/>
              <w:gridCol w:w="3406"/>
            </w:tblGrid>
            <w:tr w:rsidR="00FC1CBD" w:rsidRPr="00594627" w:rsidTr="00FC1CBD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594627" w:rsidRDefault="00FC1CB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</w:pPr>
                  <w:r w:rsidRPr="00594627"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  <w:t>Vlastnosti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594627" w:rsidRDefault="00FC1CB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</w:pPr>
                  <w:r w:rsidRPr="00594627"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  <w:t>Typické hodnoty</w:t>
                  </w:r>
                </w:p>
              </w:tc>
            </w:tr>
            <w:tr w:rsidR="00FC1CBD" w:rsidRPr="00594627" w:rsidTr="00F3792C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594627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594627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Merná hmotnosť pri 15 °C [g/cm3]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594627" w:rsidRDefault="0012103F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594627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0,890</w:t>
                  </w:r>
                </w:p>
              </w:tc>
            </w:tr>
            <w:tr w:rsidR="00FC1CBD" w:rsidRPr="00594627" w:rsidTr="00F3792C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594627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594627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Kinematická viskozita pri 40 °C [mm2/s]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594627" w:rsidRDefault="0012103F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594627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128,1</w:t>
                  </w:r>
                </w:p>
              </w:tc>
            </w:tr>
            <w:tr w:rsidR="00FC1CBD" w:rsidRPr="00594627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594627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594627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Kinematická viskozita pri 100 °C [mm2/s]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594627" w:rsidRDefault="0035550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594627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15</w:t>
                  </w:r>
                </w:p>
              </w:tc>
            </w:tr>
            <w:tr w:rsidR="00FC1CBD" w:rsidRPr="00594627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594627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594627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Viskozitný index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594627" w:rsidRDefault="0035550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594627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145</w:t>
                  </w:r>
                </w:p>
              </w:tc>
            </w:tr>
            <w:tr w:rsidR="00FC1CBD" w:rsidRPr="00594627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594627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594627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Bod tuhnutia [°C]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594627" w:rsidRDefault="0035550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594627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-27</w:t>
                  </w:r>
                </w:p>
              </w:tc>
            </w:tr>
            <w:tr w:rsidR="00FC1CBD" w:rsidRPr="00594627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594627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594627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Bod vzplanutia v otvorenom tégliku (Cleveland) [°C]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594627" w:rsidRDefault="0035550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594627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225</w:t>
                  </w:r>
                </w:p>
              </w:tc>
            </w:tr>
            <w:tr w:rsidR="00FC1CBD" w:rsidRPr="00594627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594627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594627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Číslo celkovej alkality (BN) [mg KOH/g]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594627" w:rsidRDefault="0035550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594627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8</w:t>
                  </w:r>
                </w:p>
              </w:tc>
            </w:tr>
          </w:tbl>
          <w:p w:rsidR="002179B6" w:rsidRPr="00594627" w:rsidRDefault="001661FE" w:rsidP="00594627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94627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Vlastnosti v tabuľke sú typické hodnoty produktu a nepredstavujú špecifikáciu.</w:t>
            </w:r>
          </w:p>
        </w:tc>
      </w:tr>
      <w:tr w:rsidR="002179B6" w:rsidTr="00A35AE2">
        <w:tc>
          <w:tcPr>
            <w:tcW w:w="1921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2179B6" w:rsidRPr="00BC7CE9" w:rsidRDefault="00327E21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>
              <w:rPr>
                <w:b/>
              </w:rPr>
              <w:t>Špecifikácie   a  súhlasy</w:t>
            </w:r>
          </w:p>
        </w:tc>
        <w:tc>
          <w:tcPr>
            <w:tcW w:w="64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0B486B" w:rsidRDefault="000B486B" w:rsidP="000B486B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0B486B">
              <w:rPr>
                <w:rFonts w:ascii="Arial Unicode MS" w:eastAsia="Arial Unicode MS" w:hAnsi="Arial Unicode MS" w:cs="Arial Unicode MS"/>
                <w:sz w:val="18"/>
                <w:szCs w:val="18"/>
              </w:rPr>
              <w:t>Viskozitná</w:t>
            </w:r>
            <w:r w:rsidR="0035550E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trieda: SAE 15</w:t>
            </w:r>
            <w:r w:rsidR="0012103F">
              <w:rPr>
                <w:rFonts w:ascii="Arial Unicode MS" w:eastAsia="Arial Unicode MS" w:hAnsi="Arial Unicode MS" w:cs="Arial Unicode MS"/>
                <w:sz w:val="18"/>
                <w:szCs w:val="18"/>
              </w:rPr>
              <w:t>W - 40</w:t>
            </w:r>
          </w:p>
          <w:p w:rsidR="000B486B" w:rsidRPr="000B486B" w:rsidRDefault="0012103F" w:rsidP="000B486B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API SF/CF</w:t>
            </w:r>
          </w:p>
        </w:tc>
      </w:tr>
      <w:tr w:rsidR="002179B6" w:rsidTr="00A35AE2">
        <w:trPr>
          <w:trHeight w:val="2613"/>
        </w:trPr>
        <w:tc>
          <w:tcPr>
            <w:tcW w:w="1921" w:type="dxa"/>
            <w:tcBorders>
              <w:top w:val="single" w:sz="4" w:space="0" w:color="auto"/>
              <w:bottom w:val="nil"/>
            </w:tcBorders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  <w:lang w:bidi="sk-SK"/>
              </w:rPr>
            </w:pPr>
            <w:r w:rsidRPr="00BC7CE9">
              <w:rPr>
                <w:b/>
                <w:lang w:bidi="sk-SK"/>
              </w:rPr>
              <w:t xml:space="preserve">Pokyny pre manipuláciu </w:t>
            </w:r>
            <w:r w:rsidR="00327E21">
              <w:rPr>
                <w:b/>
                <w:lang w:bidi="sk-SK"/>
              </w:rPr>
              <w:t xml:space="preserve"> </w:t>
            </w:r>
            <w:r w:rsidRPr="00BC7CE9">
              <w:rPr>
                <w:b/>
                <w:lang w:bidi="sk-SK"/>
              </w:rPr>
              <w:t>a skladovanie</w:t>
            </w:r>
          </w:p>
        </w:tc>
        <w:tc>
          <w:tcPr>
            <w:tcW w:w="64" w:type="dxa"/>
            <w:tcBorders>
              <w:top w:val="single" w:sz="4" w:space="0" w:color="auto"/>
              <w:bottom w:val="nil"/>
            </w:tcBorders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  <w:tcBorders>
              <w:top w:val="single" w:sz="4" w:space="0" w:color="auto"/>
              <w:bottom w:val="nil"/>
            </w:tcBorders>
          </w:tcPr>
          <w:p w:rsidR="0012103F" w:rsidRPr="00594627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594627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Skladujte v uzavretých originálnych obaloch na suchých miestach </w:t>
            </w:r>
          </w:p>
          <w:p w:rsidR="0012103F" w:rsidRPr="00594627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594627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Neskladovať v blízkosti výhrevných telies.</w:t>
            </w:r>
          </w:p>
          <w:p w:rsidR="0012103F" w:rsidRPr="00594627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594627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Počas prepravy, skladovania a používania výrobku dodržiavajte zásady bezpečnosti práce a ekologické pravidlá vzťahujúce sa k ropným výrobkom.</w:t>
            </w:r>
          </w:p>
          <w:p w:rsidR="0012103F" w:rsidRPr="00594627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594627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Pre bližšie informácie si vyžiadajte Kartu bezpečnostných údajov produktu.</w:t>
            </w:r>
          </w:p>
          <w:p w:rsidR="0012103F" w:rsidRPr="00594627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594627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Motorové oleje sú plne formulované výrobky, dodatočná </w:t>
            </w:r>
            <w:proofErr w:type="spellStart"/>
            <w:r w:rsidRPr="00594627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aditivácia</w:t>
            </w:r>
            <w:proofErr w:type="spellEnd"/>
            <w:r w:rsidRPr="00594627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 je nežiaduca a môže spôsobiť nepredvídané škody. V takomto prípade výrobca ani pred</w:t>
            </w:r>
            <w:r w:rsidR="00594627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ajca nenesú </w:t>
            </w:r>
            <w:r w:rsidRPr="00594627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zodpovednosť.</w:t>
            </w:r>
          </w:p>
          <w:p w:rsidR="0012103F" w:rsidRPr="00594627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594627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V pôvodnom balení pri dodržaní skladovacích podmienok: 60 mesiacov</w:t>
            </w:r>
          </w:p>
          <w:p w:rsidR="002179B6" w:rsidRPr="00594627" w:rsidRDefault="0012103F" w:rsidP="00594627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594627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Horľavá kvapalina: IV. triedy </w:t>
            </w:r>
            <w:proofErr w:type="spellStart"/>
            <w:r w:rsidRPr="00594627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nebezpečnosti.Odporúčaná</w:t>
            </w:r>
            <w:proofErr w:type="spellEnd"/>
            <w:r w:rsidRPr="00594627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 teplota skladovania: max. 40°C</w:t>
            </w:r>
          </w:p>
        </w:tc>
      </w:tr>
    </w:tbl>
    <w:p w:rsidR="006D7EAB" w:rsidRDefault="006D7EAB"/>
    <w:sectPr w:rsidR="006D7EAB" w:rsidSect="006D7EA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66F" w:rsidRDefault="0084366F" w:rsidP="002179B6">
      <w:pPr>
        <w:spacing w:before="0" w:after="0" w:line="240" w:lineRule="auto"/>
      </w:pPr>
      <w:r>
        <w:separator/>
      </w:r>
    </w:p>
  </w:endnote>
  <w:endnote w:type="continuationSeparator" w:id="0">
    <w:p w:rsidR="0084366F" w:rsidRDefault="0084366F" w:rsidP="002179B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9B6" w:rsidRDefault="002179B6" w:rsidP="002179B6">
    <w:pPr>
      <w:pStyle w:val="Pta"/>
    </w:pPr>
    <w:r>
      <w:t xml:space="preserve">AUTEX s.r.o., Kragujevská 3679/22C, 010 01 Žilina, IČO: 36389714, Mobil: 0903 735 214, E-mail: </w:t>
    </w:r>
    <w:hyperlink r:id="rId1" w:history="1">
      <w:r w:rsidR="00BA0B2B" w:rsidRPr="00E13C00">
        <w:rPr>
          <w:rStyle w:val="Hypertextovprepojenie"/>
        </w:rPr>
        <w:t>autexhaj@autexsro.sk</w:t>
      </w:r>
    </w:hyperlink>
    <w:r w:rsidR="00BA0B2B">
      <w:t xml:space="preserve">, </w:t>
    </w:r>
    <w:r>
      <w:t>Prevádzka</w:t>
    </w:r>
    <w:r w:rsidR="00BA0B2B">
      <w:t>:</w:t>
    </w:r>
    <w:r>
      <w:t xml:space="preserve"> Háj 207, 039 01 Turčianske Teplice, </w:t>
    </w:r>
    <w:proofErr w:type="spellStart"/>
    <w:r>
      <w:t>www.oleje-autex.sk</w:t>
    </w:r>
    <w:proofErr w:type="spellEnd"/>
    <w:r w:rsidR="00BA0B2B">
      <w:t>.</w:t>
    </w:r>
  </w:p>
  <w:p w:rsidR="002179B6" w:rsidRDefault="002179B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66F" w:rsidRDefault="0084366F" w:rsidP="002179B6">
      <w:pPr>
        <w:spacing w:before="0" w:after="0" w:line="240" w:lineRule="auto"/>
      </w:pPr>
      <w:r>
        <w:separator/>
      </w:r>
    </w:p>
  </w:footnote>
  <w:footnote w:type="continuationSeparator" w:id="0">
    <w:p w:rsidR="0084366F" w:rsidRDefault="0084366F" w:rsidP="002179B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9B6" w:rsidRDefault="002179B6" w:rsidP="002179B6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rPr>
        <w:rFonts w:ascii="Arial" w:hAnsi="Arial" w:cs="Arial"/>
        <w:b/>
        <w:bCs/>
        <w:color w:val="365F91" w:themeColor="accent1" w:themeShade="BF"/>
        <w:sz w:val="28"/>
        <w:szCs w:val="28"/>
      </w:rPr>
    </w:pPr>
    <w:r>
      <w:rPr>
        <w:b/>
        <w:noProof/>
        <w:sz w:val="28"/>
        <w:szCs w:val="28"/>
        <w:lang w:eastAsia="sk-SK"/>
      </w:rPr>
      <w:drawing>
        <wp:inline distT="0" distB="0" distL="0" distR="0">
          <wp:extent cx="1276350" cy="361950"/>
          <wp:effectExtent l="0" t="0" r="0" b="0"/>
          <wp:docPr id="1" name="Obrázok 1" descr="LOGO Aut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ute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color w:val="000000"/>
        <w:sz w:val="28"/>
        <w:szCs w:val="28"/>
      </w:rPr>
      <w:t xml:space="preserve">           </w:t>
    </w:r>
    <w:r>
      <w:rPr>
        <w:rFonts w:ascii="Arial" w:hAnsi="Arial" w:cs="Arial"/>
        <w:b/>
        <w:bCs/>
        <w:color w:val="365F91" w:themeColor="accent1" w:themeShade="BF"/>
        <w:sz w:val="28"/>
        <w:szCs w:val="28"/>
      </w:rPr>
      <w:t>TECHNICKO INFORMAČNÝ LIST</w:t>
    </w:r>
  </w:p>
  <w:p w:rsidR="002179B6" w:rsidRDefault="002179B6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9B6"/>
    <w:rsid w:val="00040609"/>
    <w:rsid w:val="000B486B"/>
    <w:rsid w:val="0012103F"/>
    <w:rsid w:val="001661FE"/>
    <w:rsid w:val="002179B6"/>
    <w:rsid w:val="002E7F35"/>
    <w:rsid w:val="00306C22"/>
    <w:rsid w:val="00327E21"/>
    <w:rsid w:val="0035550E"/>
    <w:rsid w:val="005633DB"/>
    <w:rsid w:val="00581E39"/>
    <w:rsid w:val="00594627"/>
    <w:rsid w:val="005C7B6C"/>
    <w:rsid w:val="006559EA"/>
    <w:rsid w:val="006D7EAB"/>
    <w:rsid w:val="007375B5"/>
    <w:rsid w:val="00782D13"/>
    <w:rsid w:val="00784C94"/>
    <w:rsid w:val="0084366F"/>
    <w:rsid w:val="008C42FA"/>
    <w:rsid w:val="008F5FA3"/>
    <w:rsid w:val="00964E51"/>
    <w:rsid w:val="00986B26"/>
    <w:rsid w:val="00A35AE2"/>
    <w:rsid w:val="00B24BA1"/>
    <w:rsid w:val="00B27B0E"/>
    <w:rsid w:val="00BA0B2B"/>
    <w:rsid w:val="00BB1C2B"/>
    <w:rsid w:val="00BD2AC0"/>
    <w:rsid w:val="00C506AD"/>
    <w:rsid w:val="00CA18F7"/>
    <w:rsid w:val="00D031CB"/>
    <w:rsid w:val="00D36AFC"/>
    <w:rsid w:val="00D57D2B"/>
    <w:rsid w:val="00F3792C"/>
    <w:rsid w:val="00F751F3"/>
    <w:rsid w:val="00F836BF"/>
    <w:rsid w:val="00FB6A34"/>
    <w:rsid w:val="00FC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79B6"/>
    <w:pPr>
      <w:spacing w:before="40" w:after="160" w:line="288" w:lineRule="auto"/>
    </w:pPr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Nadpis1">
    <w:name w:val="heading 1"/>
    <w:basedOn w:val="Normlny"/>
    <w:next w:val="Normlny"/>
    <w:link w:val="Nadpis1Char"/>
    <w:unhideWhenUsed/>
    <w:qFormat/>
    <w:rsid w:val="002179B6"/>
    <w:pPr>
      <w:jc w:val="right"/>
      <w:outlineLvl w:val="0"/>
    </w:pPr>
    <w:rPr>
      <w:rFonts w:asciiTheme="majorHAnsi" w:eastAsiaTheme="majorEastAsia" w:hAnsiTheme="majorHAnsi" w:cstheme="majorBidi"/>
      <w:caps/>
      <w:color w:val="4F81BD" w:themeColor="accent1"/>
      <w:sz w:val="21"/>
      <w:szCs w:val="21"/>
    </w:rPr>
  </w:style>
  <w:style w:type="paragraph" w:styleId="Nadpis2">
    <w:name w:val="heading 2"/>
    <w:basedOn w:val="Normlny"/>
    <w:next w:val="Normlny"/>
    <w:link w:val="Nadpis2Char"/>
    <w:unhideWhenUsed/>
    <w:qFormat/>
    <w:rsid w:val="002179B6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179B6"/>
    <w:rPr>
      <w:rFonts w:asciiTheme="majorHAnsi" w:eastAsiaTheme="majorEastAsia" w:hAnsiTheme="majorHAnsi" w:cstheme="majorBidi"/>
      <w:caps/>
      <w:color w:val="4F81BD" w:themeColor="accent1"/>
      <w:kern w:val="20"/>
      <w:sz w:val="21"/>
      <w:szCs w:val="21"/>
      <w:lang w:eastAsia="ja-JP"/>
    </w:rPr>
  </w:style>
  <w:style w:type="character" w:customStyle="1" w:styleId="Nadpis2Char">
    <w:name w:val="Nadpis 2 Char"/>
    <w:basedOn w:val="Predvolenpsmoodseku"/>
    <w:link w:val="Nadpis2"/>
    <w:rsid w:val="002179B6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ja-JP"/>
    </w:rPr>
  </w:style>
  <w:style w:type="paragraph" w:customStyle="1" w:styleId="Textivotopisu">
    <w:name w:val="Text životopisu"/>
    <w:basedOn w:val="Normlny"/>
    <w:qFormat/>
    <w:rsid w:val="002179B6"/>
    <w:pPr>
      <w:spacing w:after="40"/>
      <w:ind w:right="1440"/>
    </w:pPr>
  </w:style>
  <w:style w:type="table" w:customStyle="1" w:styleId="Tabukaivotopisu">
    <w:name w:val="Tabuľka životopisu"/>
    <w:basedOn w:val="Normlnatabuka"/>
    <w:uiPriority w:val="99"/>
    <w:rsid w:val="002179B6"/>
    <w:pPr>
      <w:spacing w:before="40" w:after="160" w:line="288" w:lineRule="auto"/>
    </w:pPr>
    <w:rPr>
      <w:rFonts w:eastAsiaTheme="minorEastAsia"/>
      <w:color w:val="595959" w:themeColor="text1" w:themeTint="A6"/>
      <w:sz w:val="20"/>
      <w:szCs w:val="20"/>
      <w:lang w:eastAsia="ja-JP"/>
    </w:rPr>
    <w:tblPr>
      <w:tblBorders>
        <w:insideH w:val="single" w:sz="4" w:space="0" w:color="4F81B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Meno">
    <w:name w:val="Meno"/>
    <w:basedOn w:val="Normlny"/>
    <w:next w:val="Normlny"/>
    <w:qFormat/>
    <w:rsid w:val="002179B6"/>
    <w:pPr>
      <w:pBdr>
        <w:top w:val="single" w:sz="4" w:space="4" w:color="4F81BD" w:themeColor="accent1"/>
        <w:left w:val="single" w:sz="4" w:space="6" w:color="4F81BD" w:themeColor="accent1"/>
        <w:bottom w:val="single" w:sz="4" w:space="4" w:color="4F81BD" w:themeColor="accent1"/>
        <w:right w:val="single" w:sz="4" w:space="6" w:color="4F81BD" w:themeColor="accent1"/>
      </w:pBdr>
      <w:shd w:val="clear" w:color="auto" w:fill="4F81B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Default">
    <w:name w:val="Default"/>
    <w:rsid w:val="002179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9B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9B6"/>
    <w:rPr>
      <w:rFonts w:ascii="Tahoma" w:eastAsiaTheme="minorEastAsia" w:hAnsi="Tahoma" w:cs="Tahoma"/>
      <w:color w:val="595959" w:themeColor="text1" w:themeTint="A6"/>
      <w:kern w:val="20"/>
      <w:sz w:val="16"/>
      <w:szCs w:val="16"/>
      <w:lang w:eastAsia="ja-JP"/>
    </w:rPr>
  </w:style>
  <w:style w:type="character" w:styleId="Textzstupnhosymbolu">
    <w:name w:val="Placeholder Text"/>
    <w:basedOn w:val="Predvolenpsmoodseku"/>
    <w:uiPriority w:val="99"/>
    <w:semiHidden/>
    <w:rsid w:val="002179B6"/>
    <w:rPr>
      <w:color w:val="808080"/>
    </w:rPr>
  </w:style>
  <w:style w:type="paragraph" w:styleId="Hlavika">
    <w:name w:val="header"/>
    <w:basedOn w:val="Normlny"/>
    <w:link w:val="HlavikaChar"/>
    <w:uiPriority w:val="99"/>
    <w:semiHidden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Pta">
    <w:name w:val="footer"/>
    <w:basedOn w:val="Normlny"/>
    <w:link w:val="PtaChar"/>
    <w:uiPriority w:val="1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1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character" w:styleId="Hypertextovprepojenie">
    <w:name w:val="Hyperlink"/>
    <w:basedOn w:val="Predvolenpsmoodseku"/>
    <w:uiPriority w:val="99"/>
    <w:unhideWhenUsed/>
    <w:rsid w:val="00BA0B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79B6"/>
    <w:pPr>
      <w:spacing w:before="40" w:after="160" w:line="288" w:lineRule="auto"/>
    </w:pPr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Nadpis1">
    <w:name w:val="heading 1"/>
    <w:basedOn w:val="Normlny"/>
    <w:next w:val="Normlny"/>
    <w:link w:val="Nadpis1Char"/>
    <w:unhideWhenUsed/>
    <w:qFormat/>
    <w:rsid w:val="002179B6"/>
    <w:pPr>
      <w:jc w:val="right"/>
      <w:outlineLvl w:val="0"/>
    </w:pPr>
    <w:rPr>
      <w:rFonts w:asciiTheme="majorHAnsi" w:eastAsiaTheme="majorEastAsia" w:hAnsiTheme="majorHAnsi" w:cstheme="majorBidi"/>
      <w:caps/>
      <w:color w:val="4F81BD" w:themeColor="accent1"/>
      <w:sz w:val="21"/>
      <w:szCs w:val="21"/>
    </w:rPr>
  </w:style>
  <w:style w:type="paragraph" w:styleId="Nadpis2">
    <w:name w:val="heading 2"/>
    <w:basedOn w:val="Normlny"/>
    <w:next w:val="Normlny"/>
    <w:link w:val="Nadpis2Char"/>
    <w:unhideWhenUsed/>
    <w:qFormat/>
    <w:rsid w:val="002179B6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179B6"/>
    <w:rPr>
      <w:rFonts w:asciiTheme="majorHAnsi" w:eastAsiaTheme="majorEastAsia" w:hAnsiTheme="majorHAnsi" w:cstheme="majorBidi"/>
      <w:caps/>
      <w:color w:val="4F81BD" w:themeColor="accent1"/>
      <w:kern w:val="20"/>
      <w:sz w:val="21"/>
      <w:szCs w:val="21"/>
      <w:lang w:eastAsia="ja-JP"/>
    </w:rPr>
  </w:style>
  <w:style w:type="character" w:customStyle="1" w:styleId="Nadpis2Char">
    <w:name w:val="Nadpis 2 Char"/>
    <w:basedOn w:val="Predvolenpsmoodseku"/>
    <w:link w:val="Nadpis2"/>
    <w:rsid w:val="002179B6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ja-JP"/>
    </w:rPr>
  </w:style>
  <w:style w:type="paragraph" w:customStyle="1" w:styleId="Textivotopisu">
    <w:name w:val="Text životopisu"/>
    <w:basedOn w:val="Normlny"/>
    <w:qFormat/>
    <w:rsid w:val="002179B6"/>
    <w:pPr>
      <w:spacing w:after="40"/>
      <w:ind w:right="1440"/>
    </w:pPr>
  </w:style>
  <w:style w:type="table" w:customStyle="1" w:styleId="Tabukaivotopisu">
    <w:name w:val="Tabuľka životopisu"/>
    <w:basedOn w:val="Normlnatabuka"/>
    <w:uiPriority w:val="99"/>
    <w:rsid w:val="002179B6"/>
    <w:pPr>
      <w:spacing w:before="40" w:after="160" w:line="288" w:lineRule="auto"/>
    </w:pPr>
    <w:rPr>
      <w:rFonts w:eastAsiaTheme="minorEastAsia"/>
      <w:color w:val="595959" w:themeColor="text1" w:themeTint="A6"/>
      <w:sz w:val="20"/>
      <w:szCs w:val="20"/>
      <w:lang w:eastAsia="ja-JP"/>
    </w:rPr>
    <w:tblPr>
      <w:tblBorders>
        <w:insideH w:val="single" w:sz="4" w:space="0" w:color="4F81B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Meno">
    <w:name w:val="Meno"/>
    <w:basedOn w:val="Normlny"/>
    <w:next w:val="Normlny"/>
    <w:qFormat/>
    <w:rsid w:val="002179B6"/>
    <w:pPr>
      <w:pBdr>
        <w:top w:val="single" w:sz="4" w:space="4" w:color="4F81BD" w:themeColor="accent1"/>
        <w:left w:val="single" w:sz="4" w:space="6" w:color="4F81BD" w:themeColor="accent1"/>
        <w:bottom w:val="single" w:sz="4" w:space="4" w:color="4F81BD" w:themeColor="accent1"/>
        <w:right w:val="single" w:sz="4" w:space="6" w:color="4F81BD" w:themeColor="accent1"/>
      </w:pBdr>
      <w:shd w:val="clear" w:color="auto" w:fill="4F81B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Default">
    <w:name w:val="Default"/>
    <w:rsid w:val="002179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9B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9B6"/>
    <w:rPr>
      <w:rFonts w:ascii="Tahoma" w:eastAsiaTheme="minorEastAsia" w:hAnsi="Tahoma" w:cs="Tahoma"/>
      <w:color w:val="595959" w:themeColor="text1" w:themeTint="A6"/>
      <w:kern w:val="20"/>
      <w:sz w:val="16"/>
      <w:szCs w:val="16"/>
      <w:lang w:eastAsia="ja-JP"/>
    </w:rPr>
  </w:style>
  <w:style w:type="character" w:styleId="Textzstupnhosymbolu">
    <w:name w:val="Placeholder Text"/>
    <w:basedOn w:val="Predvolenpsmoodseku"/>
    <w:uiPriority w:val="99"/>
    <w:semiHidden/>
    <w:rsid w:val="002179B6"/>
    <w:rPr>
      <w:color w:val="808080"/>
    </w:rPr>
  </w:style>
  <w:style w:type="paragraph" w:styleId="Hlavika">
    <w:name w:val="header"/>
    <w:basedOn w:val="Normlny"/>
    <w:link w:val="HlavikaChar"/>
    <w:uiPriority w:val="99"/>
    <w:semiHidden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Pta">
    <w:name w:val="footer"/>
    <w:basedOn w:val="Normlny"/>
    <w:link w:val="PtaChar"/>
    <w:uiPriority w:val="1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1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character" w:styleId="Hypertextovprepojenie">
    <w:name w:val="Hyperlink"/>
    <w:basedOn w:val="Predvolenpsmoodseku"/>
    <w:uiPriority w:val="99"/>
    <w:unhideWhenUsed/>
    <w:rsid w:val="00BA0B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utexhaj@autexsro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23B9FFA8C5E47209DCA99CABA8248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96D3B92-6152-4480-A016-9F80667F2FF9}"/>
      </w:docPartPr>
      <w:docPartBody>
        <w:p w:rsidR="00CC37A6" w:rsidRDefault="00D96BD1" w:rsidP="00D96BD1">
          <w:pPr>
            <w:pStyle w:val="223B9FFA8C5E47209DCA99CABA8248D5"/>
          </w:pPr>
          <w:r>
            <w:rPr>
              <w:rStyle w:val="Textzstupnhosymbolu"/>
              <w:lang w:bidi="sk-SK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96BD1"/>
    <w:rsid w:val="000B6C5E"/>
    <w:rsid w:val="000D1AE6"/>
    <w:rsid w:val="00457518"/>
    <w:rsid w:val="00687541"/>
    <w:rsid w:val="00762505"/>
    <w:rsid w:val="007809ED"/>
    <w:rsid w:val="00AB5A67"/>
    <w:rsid w:val="00AE7377"/>
    <w:rsid w:val="00B30670"/>
    <w:rsid w:val="00CC37A6"/>
    <w:rsid w:val="00D0731B"/>
    <w:rsid w:val="00D238A2"/>
    <w:rsid w:val="00D9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37A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D96BD1"/>
    <w:rPr>
      <w:color w:val="808080"/>
    </w:rPr>
  </w:style>
  <w:style w:type="paragraph" w:customStyle="1" w:styleId="223B9FFA8C5E47209DCA99CABA8248D5">
    <w:name w:val="223B9FFA8C5E47209DCA99CABA8248D5"/>
    <w:rsid w:val="00D96BD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AUTEX M7ADS III 15W-40</dc:creator>
  <cp:lastModifiedBy>AUTEX-ZA</cp:lastModifiedBy>
  <cp:revision>3</cp:revision>
  <cp:lastPrinted>2021-12-09T12:11:00Z</cp:lastPrinted>
  <dcterms:created xsi:type="dcterms:W3CDTF">2022-03-24T10:39:00Z</dcterms:created>
  <dcterms:modified xsi:type="dcterms:W3CDTF">2022-03-24T10:39:00Z</dcterms:modified>
</cp:coreProperties>
</file>